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1096">
      <w:pPr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❶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Internal volume: 800L~1000L.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❷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Temperature control range: 15~60℃, temperature fluctuation: ±0.5℃, temperature deviation: ±1.0℃;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❸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Humidity control range: 40～90%RH, humidity control fluctuation: ±3.0%RH, humidity deviation: ±3.0%RH;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❹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Temperature and humidity controller: color touch screen controller, sensitive sensing, small system error;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❺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Humidity sensor: imported capacitive humidity sensor, direct detection no need to maintain;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❻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Refrigeration compressor: imported hermetic compressor, long life, low noise;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❼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On-site alarm: on-site temperature and humidity deviation sound and light alarm, independent over-temperature alarm;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❽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Case material: liner material for mirror stainless steel 304, shell material for high-quality steel spraying;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❾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Double protection: configure double insurance anti-dry burning protection system; configure independent over-temperature protection system, can automatically cut off the power supply;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❿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Safety devices: compressor overheating protection, compressor overpressure protection, compressor overload protection and fan overheating protection;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⓫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Installation power: AC 220V±10% 50Hz;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⓬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Working environment: ＋5 ~ 35 ℃ (recommended to be able to control within 30 ℃);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⓭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Data storage: Optional data logging system (optional);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33FF"/>
          <w:spacing w:val="0"/>
          <w:kern w:val="0"/>
          <w:sz w:val="18"/>
          <w:szCs w:val="18"/>
          <w:lang w:val="en-US" w:eastAsia="zh-CN" w:bidi="ar"/>
        </w:rPr>
        <w:t>⓮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Special Note: Online consultation below the </w:t>
      </w:r>
      <w:r>
        <w:rPr>
          <w:rFonts w:hint="default" w:ascii="Tahoma" w:hAnsi="Tahoma" w:eastAsia="Tahoma" w:cs="Tahoma"/>
          <w:i w:val="0"/>
          <w:iCs w:val="0"/>
          <w:caps w:val="0"/>
          <w:color w:val="FF0000"/>
          <w:spacing w:val="0"/>
          <w:kern w:val="0"/>
          <w:sz w:val="16"/>
          <w:szCs w:val="16"/>
          <w:lang w:val="en-US" w:eastAsia="zh-CN" w:bidi="ar"/>
        </w:rPr>
        <w:t>PDF and WORD icons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, you can download the color page of this page related information.</w:t>
      </w:r>
    </w:p>
    <w:p w14:paraId="06CA35CA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655D7232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</w:p>
    <w:tbl>
      <w:tblPr>
        <w:tblW w:w="130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2"/>
        <w:gridCol w:w="1832"/>
        <w:gridCol w:w="942"/>
        <w:gridCol w:w="1440"/>
        <w:gridCol w:w="1012"/>
        <w:gridCol w:w="1671"/>
        <w:gridCol w:w="1679"/>
        <w:gridCol w:w="929"/>
        <w:gridCol w:w="1033"/>
      </w:tblGrid>
      <w:tr w14:paraId="2BE9D8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32EBC8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Name</w:t>
            </w:r>
          </w:p>
        </w:tc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90B4B6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Model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4333E6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Temp range</w:t>
            </w:r>
          </w:p>
          <w:p w14:paraId="73EB1022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(℃ )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8524D5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Humidity range</w:t>
            </w:r>
          </w:p>
          <w:p w14:paraId="4E964907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(℃ )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E9623F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Volume (L)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4F9E05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Inner size</w:t>
            </w:r>
          </w:p>
          <w:p w14:paraId="1407BC97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W×D×H(mm)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0E7DE3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Outside size</w:t>
            </w:r>
          </w:p>
          <w:p w14:paraId="54AC11FE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W×D×H(mm)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558729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Power</w:t>
            </w:r>
          </w:p>
          <w:p w14:paraId="5D8335DD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（kw）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EC37FC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Shelf</w:t>
            </w:r>
          </w:p>
          <w:p w14:paraId="342BB64B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2"/>
                <w:szCs w:val="12"/>
              </w:rPr>
              <w:t>( standard )</w:t>
            </w:r>
          </w:p>
        </w:tc>
      </w:tr>
      <w:tr w14:paraId="42035C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AB30A27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Constant temperature chamber</w:t>
            </w:r>
          </w:p>
        </w:tc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4C0C74A9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28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Labonce-800CH-T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46AE2FFA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164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15～60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6C7764B4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40～90%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1BA8C422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114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800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1E9D98C5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64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1200×895×1965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5A9DC9A2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66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1385×895×1965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7BA73A61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109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2.5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7A98D3AC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10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4</w:t>
            </w:r>
          </w:p>
        </w:tc>
      </w:tr>
      <w:tr w14:paraId="331DA9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C01D06">
            <w:pPr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kern w:val="0"/>
                <w:sz w:val="13"/>
                <w:szCs w:val="13"/>
                <w:lang w:val="en-US" w:eastAsia="zh-CN" w:bidi="ar"/>
              </w:rPr>
              <w:t>Constant temperature chamber</w:t>
            </w:r>
          </w:p>
        </w:tc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1A595020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29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Labonce-1000CH-T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04181882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109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15～60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654B4671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40～90%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1E526AC7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115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1000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257E016D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64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1400×510×1400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53E78E60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67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1615×925×1975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2B5D4280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109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3.0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67BBD4BF"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15" w:lineRule="atLeast"/>
              <w:ind w:left="11" w:right="0"/>
              <w:jc w:val="center"/>
              <w:rPr>
                <w:sz w:val="13"/>
                <w:szCs w:val="13"/>
              </w:rPr>
            </w:pPr>
            <w:r>
              <w:rPr>
                <w:rStyle w:val="5"/>
                <w:rFonts w:hint="default" w:ascii="Tahoma" w:hAnsi="Tahoma" w:eastAsia="Tahoma" w:cs="Tahoma"/>
                <w:caps w:val="0"/>
                <w:spacing w:val="0"/>
                <w:sz w:val="13"/>
                <w:szCs w:val="13"/>
              </w:rPr>
              <w:t>4</w:t>
            </w:r>
          </w:p>
        </w:tc>
      </w:tr>
    </w:tbl>
    <w:p w14:paraId="156F74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2025-07-18T06:38:20Z</dcterms:created>
  <dc:creator>tianjiawei</dc:creator>
  <cp:lastModifiedBy>小田</cp:lastModifiedBy>
  <dcterms:modified xsi:type="dcterms:W3CDTF">2025-07-18T06:38:47Z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eyJoZGlkIjoiNjJmYmU4ZWZiYTM5NzE2ZDFkY2Y1NThjYWJiMzE5MjAiLCJ1c2VySWQiOiI0MTg5NTI4ODkifQ==</vt:lpwstr>
  </property>
  <property fmtid="{D5CDD505-2E9C-101B-9397-08002B2CF9AE}" pid="4" name="ICV">
    <vt:lpwstr>81B14C52C6B646D0812538DA7EA45146_12</vt:lpwstr>
  </property>
</Properties>
</file>